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AEA31" w14:textId="28D724DE" w:rsidR="006D6284" w:rsidRDefault="006D6284"/>
    <w:tbl>
      <w:tblPr>
        <w:tblStyle w:val="Grilledutableau"/>
        <w:tblW w:w="10065" w:type="dxa"/>
        <w:tblInd w:w="-572" w:type="dxa"/>
        <w:tblLook w:val="04A0" w:firstRow="1" w:lastRow="0" w:firstColumn="1" w:lastColumn="0" w:noHBand="0" w:noVBand="1"/>
      </w:tblPr>
      <w:tblGrid>
        <w:gridCol w:w="1560"/>
        <w:gridCol w:w="8505"/>
      </w:tblGrid>
      <w:tr w:rsidR="006D6284" w14:paraId="1323F8ED" w14:textId="77777777" w:rsidTr="59DD4FAB">
        <w:tc>
          <w:tcPr>
            <w:tcW w:w="1560" w:type="dxa"/>
          </w:tcPr>
          <w:p w14:paraId="75EBCB21" w14:textId="77777777" w:rsidR="006D6284" w:rsidRPr="009404C2" w:rsidRDefault="006D6284">
            <w:pPr>
              <w:jc w:val="center"/>
              <w:rPr>
                <w:b/>
                <w:bCs/>
              </w:rPr>
            </w:pPr>
            <w:r w:rsidRPr="009404C2">
              <w:rPr>
                <w:b/>
                <w:bCs/>
              </w:rPr>
              <w:t xml:space="preserve">Axe </w:t>
            </w:r>
            <w:r>
              <w:rPr>
                <w:b/>
                <w:bCs/>
              </w:rPr>
              <w:t>6</w:t>
            </w:r>
          </w:p>
        </w:tc>
        <w:tc>
          <w:tcPr>
            <w:tcW w:w="8505" w:type="dxa"/>
          </w:tcPr>
          <w:p w14:paraId="71DC977D" w14:textId="17450EDF" w:rsidR="006D6284" w:rsidRDefault="006D6284">
            <w:pPr>
              <w:jc w:val="center"/>
              <w:rPr>
                <w:b/>
                <w:bCs/>
              </w:rPr>
            </w:pPr>
            <w:r>
              <w:rPr>
                <w:b/>
                <w:bCs/>
              </w:rPr>
              <w:t>Partage des pratiques agricoles favorables aux pollinisateurs</w:t>
            </w:r>
          </w:p>
          <w:p w14:paraId="36AC82D5" w14:textId="77777777" w:rsidR="006D6284" w:rsidRPr="00721835" w:rsidRDefault="006D6284">
            <w:pPr>
              <w:jc w:val="center"/>
              <w:rPr>
                <w:b/>
                <w:bCs/>
              </w:rPr>
            </w:pPr>
            <w:r>
              <w:rPr>
                <w:b/>
                <w:bCs/>
              </w:rPr>
              <w:t>Rédacteur Région Grand Est</w:t>
            </w:r>
          </w:p>
        </w:tc>
      </w:tr>
      <w:tr w:rsidR="006D6284" w14:paraId="3B62A6AA" w14:textId="77777777" w:rsidTr="59DD4FAB">
        <w:tc>
          <w:tcPr>
            <w:tcW w:w="1560" w:type="dxa"/>
          </w:tcPr>
          <w:p w14:paraId="661163E1" w14:textId="7D911D2F" w:rsidR="006D6284" w:rsidRPr="009404C2" w:rsidRDefault="006D6284">
            <w:pPr>
              <w:jc w:val="center"/>
              <w:rPr>
                <w:b/>
                <w:bCs/>
              </w:rPr>
            </w:pPr>
            <w:r w:rsidRPr="009404C2">
              <w:rPr>
                <w:b/>
                <w:bCs/>
              </w:rPr>
              <w:t xml:space="preserve">Action </w:t>
            </w:r>
            <w:r>
              <w:rPr>
                <w:b/>
                <w:bCs/>
              </w:rPr>
              <w:t>3</w:t>
            </w:r>
          </w:p>
        </w:tc>
        <w:tc>
          <w:tcPr>
            <w:tcW w:w="8505" w:type="dxa"/>
          </w:tcPr>
          <w:p w14:paraId="29112D0F" w14:textId="6A882675" w:rsidR="006D6284" w:rsidRPr="00F83A96" w:rsidRDefault="006D6284">
            <w:pPr>
              <w:jc w:val="center"/>
              <w:rPr>
                <w:rFonts w:cs="CIDFont+F1"/>
                <w:b/>
                <w:bCs/>
                <w:kern w:val="0"/>
              </w:rPr>
            </w:pPr>
            <w:r w:rsidRPr="00F83A96">
              <w:rPr>
                <w:rFonts w:cs="CIDFont+F1"/>
                <w:b/>
                <w:bCs/>
                <w:kern w:val="0"/>
              </w:rPr>
              <w:t>M</w:t>
            </w:r>
            <w:r w:rsidR="00627DBB">
              <w:rPr>
                <w:rFonts w:cs="CIDFont+F1"/>
                <w:b/>
                <w:bCs/>
                <w:kern w:val="0"/>
              </w:rPr>
              <w:t>ettre</w:t>
            </w:r>
            <w:r w:rsidRPr="00F83A96">
              <w:rPr>
                <w:rFonts w:cs="CIDFont+F1"/>
                <w:b/>
                <w:bCs/>
                <w:kern w:val="0"/>
              </w:rPr>
              <w:t xml:space="preserve"> en place un processus</w:t>
            </w:r>
            <w:r w:rsidR="009F2258">
              <w:rPr>
                <w:rFonts w:cs="CIDFont+F1"/>
                <w:b/>
                <w:bCs/>
                <w:kern w:val="0"/>
              </w:rPr>
              <w:t xml:space="preserve"> de médiation</w:t>
            </w:r>
            <w:r w:rsidR="00717BAC">
              <w:rPr>
                <w:rFonts w:cs="CIDFont+F1"/>
                <w:b/>
                <w:bCs/>
                <w:kern w:val="0"/>
              </w:rPr>
              <w:t xml:space="preserve"> </w:t>
            </w:r>
            <w:r w:rsidR="001F6C0A">
              <w:rPr>
                <w:rFonts w:cs="CIDFont+F1"/>
                <w:b/>
                <w:bCs/>
                <w:kern w:val="0"/>
              </w:rPr>
              <w:t xml:space="preserve">pour les </w:t>
            </w:r>
            <w:r w:rsidR="00717BAC">
              <w:rPr>
                <w:rFonts w:cs="CIDFont+F1"/>
                <w:b/>
                <w:bCs/>
                <w:kern w:val="0"/>
              </w:rPr>
              <w:t>différents acteurs</w:t>
            </w:r>
            <w:r w:rsidRPr="00F83A96">
              <w:rPr>
                <w:rFonts w:cs="CIDFont+F1"/>
                <w:b/>
                <w:bCs/>
                <w:kern w:val="0"/>
              </w:rPr>
              <w:t xml:space="preserve"> </w:t>
            </w:r>
            <w:r w:rsidR="001F6C0A">
              <w:rPr>
                <w:rFonts w:cs="CIDFont+F1"/>
                <w:b/>
                <w:bCs/>
                <w:kern w:val="0"/>
              </w:rPr>
              <w:t>afin d</w:t>
            </w:r>
            <w:r w:rsidR="00AB5616">
              <w:rPr>
                <w:rFonts w:cs="CIDFont+F1"/>
                <w:b/>
                <w:bCs/>
                <w:kern w:val="0"/>
              </w:rPr>
              <w:t xml:space="preserve">’encourager les échanges </w:t>
            </w:r>
            <w:r w:rsidR="003D45A4">
              <w:rPr>
                <w:rFonts w:cs="CIDFont+F1"/>
                <w:b/>
                <w:bCs/>
                <w:kern w:val="0"/>
              </w:rPr>
              <w:t xml:space="preserve">constructifs </w:t>
            </w:r>
            <w:r w:rsidR="00924518">
              <w:rPr>
                <w:rFonts w:cs="CIDFont+F1"/>
                <w:b/>
                <w:bCs/>
                <w:kern w:val="0"/>
              </w:rPr>
              <w:t>entre apiculteurs, agriculteurs et naturalistes</w:t>
            </w:r>
          </w:p>
          <w:p w14:paraId="44318907" w14:textId="560866A4" w:rsidR="00CC32EF" w:rsidRDefault="00CC32EF">
            <w:pPr>
              <w:jc w:val="center"/>
              <w:rPr>
                <w:b/>
                <w:bCs/>
              </w:rPr>
            </w:pPr>
            <w:r w:rsidRPr="00F83A96">
              <w:rPr>
                <w:rFonts w:cs="CIDFont+F1"/>
                <w:kern w:val="0"/>
              </w:rPr>
              <w:t>- Rédacteur CRAGE -</w:t>
            </w:r>
          </w:p>
        </w:tc>
      </w:tr>
      <w:tr w:rsidR="006D6284" w14:paraId="1EFD67BE" w14:textId="77777777" w:rsidTr="59DD4FAB">
        <w:tc>
          <w:tcPr>
            <w:tcW w:w="1560" w:type="dxa"/>
          </w:tcPr>
          <w:p w14:paraId="52A0886C" w14:textId="77777777" w:rsidR="006D6284" w:rsidRPr="009404C2" w:rsidRDefault="006D6284">
            <w:pPr>
              <w:jc w:val="center"/>
              <w:rPr>
                <w:b/>
                <w:bCs/>
              </w:rPr>
            </w:pPr>
            <w:r w:rsidRPr="009404C2">
              <w:rPr>
                <w:b/>
                <w:bCs/>
              </w:rPr>
              <w:t>Priorité</w:t>
            </w:r>
          </w:p>
        </w:tc>
        <w:tc>
          <w:tcPr>
            <w:tcW w:w="8505" w:type="dxa"/>
          </w:tcPr>
          <w:p w14:paraId="739E67B4" w14:textId="20E5C77F" w:rsidR="006D6284" w:rsidRDefault="006D6284" w:rsidP="006D6284">
            <w:r>
              <w:t>1</w:t>
            </w:r>
            <w:r>
              <w:rPr>
                <w:rFonts w:ascii="CIDFont+F1" w:hAnsi="CIDFont+F1" w:cs="CIDFont+F1"/>
                <w:kern w:val="0"/>
              </w:rPr>
              <w:t xml:space="preserve"> </w:t>
            </w:r>
          </w:p>
        </w:tc>
      </w:tr>
      <w:tr w:rsidR="006D6284" w14:paraId="7113247B" w14:textId="77777777" w:rsidTr="59DD4FAB">
        <w:tc>
          <w:tcPr>
            <w:tcW w:w="1560" w:type="dxa"/>
          </w:tcPr>
          <w:p w14:paraId="7A81A788" w14:textId="77777777" w:rsidR="006D6284" w:rsidRPr="009404C2" w:rsidRDefault="006D6284">
            <w:pPr>
              <w:jc w:val="center"/>
              <w:rPr>
                <w:b/>
                <w:bCs/>
              </w:rPr>
            </w:pPr>
            <w:r w:rsidRPr="009404C2">
              <w:rPr>
                <w:b/>
                <w:bCs/>
              </w:rPr>
              <w:t>Objectifs</w:t>
            </w:r>
          </w:p>
        </w:tc>
        <w:tc>
          <w:tcPr>
            <w:tcW w:w="8505" w:type="dxa"/>
          </w:tcPr>
          <w:p w14:paraId="0289872B" w14:textId="4443AEB5" w:rsidR="006D6284" w:rsidRPr="00CC32EF" w:rsidRDefault="00A47A4C" w:rsidP="00CC32EF">
            <w:pPr>
              <w:pStyle w:val="Default"/>
              <w:jc w:val="both"/>
              <w:rPr>
                <w:rFonts w:asciiTheme="minorHAnsi" w:hAnsiTheme="minorHAnsi"/>
                <w:color w:val="auto"/>
                <w:sz w:val="22"/>
                <w:szCs w:val="22"/>
              </w:rPr>
            </w:pPr>
            <w:r>
              <w:rPr>
                <w:rFonts w:asciiTheme="minorHAnsi" w:hAnsiTheme="minorHAnsi"/>
                <w:color w:val="auto"/>
                <w:sz w:val="22"/>
                <w:szCs w:val="22"/>
              </w:rPr>
              <w:t>Résoudre les tensions et</w:t>
            </w:r>
            <w:r w:rsidR="00CC32EF">
              <w:rPr>
                <w:rFonts w:asciiTheme="minorHAnsi" w:hAnsiTheme="minorHAnsi"/>
                <w:color w:val="auto"/>
                <w:sz w:val="22"/>
                <w:szCs w:val="22"/>
              </w:rPr>
              <w:t xml:space="preserve"> les </w:t>
            </w:r>
            <w:r>
              <w:rPr>
                <w:rFonts w:asciiTheme="minorHAnsi" w:hAnsiTheme="minorHAnsi"/>
                <w:color w:val="auto"/>
                <w:sz w:val="22"/>
                <w:szCs w:val="22"/>
              </w:rPr>
              <w:t xml:space="preserve">incompréhensions entre les </w:t>
            </w:r>
            <w:r w:rsidR="00850E8D">
              <w:rPr>
                <w:rFonts w:asciiTheme="minorHAnsi" w:hAnsiTheme="minorHAnsi"/>
                <w:color w:val="auto"/>
                <w:sz w:val="22"/>
                <w:szCs w:val="22"/>
              </w:rPr>
              <w:t>apiculteurs, agriculteurs et naturalistes</w:t>
            </w:r>
          </w:p>
        </w:tc>
      </w:tr>
      <w:tr w:rsidR="006D6284" w14:paraId="4C073859" w14:textId="77777777" w:rsidTr="59DD4FAB">
        <w:tc>
          <w:tcPr>
            <w:tcW w:w="1560" w:type="dxa"/>
          </w:tcPr>
          <w:p w14:paraId="066B74CE" w14:textId="77777777" w:rsidR="006D6284" w:rsidRPr="009404C2" w:rsidRDefault="006D6284">
            <w:pPr>
              <w:jc w:val="center"/>
              <w:rPr>
                <w:b/>
                <w:bCs/>
              </w:rPr>
            </w:pPr>
            <w:r w:rsidRPr="009404C2">
              <w:rPr>
                <w:b/>
                <w:bCs/>
              </w:rPr>
              <w:t>Calendrier</w:t>
            </w:r>
          </w:p>
        </w:tc>
        <w:tc>
          <w:tcPr>
            <w:tcW w:w="8505" w:type="dxa"/>
          </w:tcPr>
          <w:p w14:paraId="5DF99CF5" w14:textId="5DA854A1" w:rsidR="006D6284" w:rsidRDefault="00CC32EF" w:rsidP="00CC32EF">
            <w:pPr>
              <w:jc w:val="both"/>
            </w:pPr>
            <w:r>
              <w:t>A partir de 2025</w:t>
            </w:r>
          </w:p>
        </w:tc>
      </w:tr>
      <w:tr w:rsidR="006D6284" w14:paraId="5D554FF1" w14:textId="77777777" w:rsidTr="59DD4FAB">
        <w:tc>
          <w:tcPr>
            <w:tcW w:w="1560" w:type="dxa"/>
          </w:tcPr>
          <w:p w14:paraId="4C0983E6" w14:textId="77777777" w:rsidR="006D6284" w:rsidRPr="002526B6" w:rsidRDefault="006D6284">
            <w:pPr>
              <w:jc w:val="center"/>
              <w:rPr>
                <w:b/>
                <w:bCs/>
              </w:rPr>
            </w:pPr>
            <w:r w:rsidRPr="002526B6">
              <w:rPr>
                <w:b/>
                <w:bCs/>
              </w:rPr>
              <w:t>Contexte</w:t>
            </w:r>
          </w:p>
        </w:tc>
        <w:tc>
          <w:tcPr>
            <w:tcW w:w="8505" w:type="dxa"/>
          </w:tcPr>
          <w:p w14:paraId="7058C394" w14:textId="1D074F1A" w:rsidR="00F87148" w:rsidRDefault="00F87148">
            <w:pPr>
              <w:pStyle w:val="Default"/>
              <w:jc w:val="both"/>
              <w:rPr>
                <w:rFonts w:asciiTheme="minorHAnsi" w:hAnsiTheme="minorHAnsi"/>
                <w:sz w:val="22"/>
                <w:szCs w:val="22"/>
              </w:rPr>
            </w:pPr>
            <w:r>
              <w:rPr>
                <w:rFonts w:asciiTheme="minorHAnsi" w:hAnsiTheme="minorHAnsi"/>
                <w:sz w:val="22"/>
                <w:szCs w:val="22"/>
              </w:rPr>
              <w:t>Le monde complexe qui tourne autour des pollinisateurs génère des incompréhensions et des a priori (fondés ou non) entre les agriculteurs et les apiculteurs, et entre les apiculteurs et les associations de protection de la nature, en particulier sur la compétition entre pollinisateurs sauvages et abeilles domestiques.</w:t>
            </w:r>
            <w:r w:rsidR="00FF395B">
              <w:rPr>
                <w:rFonts w:asciiTheme="minorHAnsi" w:hAnsiTheme="minorHAnsi"/>
                <w:sz w:val="22"/>
                <w:szCs w:val="22"/>
              </w:rPr>
              <w:t xml:space="preserve"> </w:t>
            </w:r>
            <w:r>
              <w:rPr>
                <w:rFonts w:asciiTheme="minorHAnsi" w:hAnsiTheme="minorHAnsi"/>
                <w:sz w:val="22"/>
                <w:szCs w:val="22"/>
              </w:rPr>
              <w:t>De même, au sein de l’apiculture, les amateurs et les professionnels ne se connaissent pas toujours et les lieux d’échange</w:t>
            </w:r>
            <w:r w:rsidR="009614BA">
              <w:rPr>
                <w:rFonts w:asciiTheme="minorHAnsi" w:hAnsiTheme="minorHAnsi"/>
                <w:sz w:val="22"/>
                <w:szCs w:val="22"/>
              </w:rPr>
              <w:t>s</w:t>
            </w:r>
            <w:r>
              <w:rPr>
                <w:rFonts w:asciiTheme="minorHAnsi" w:hAnsiTheme="minorHAnsi"/>
                <w:sz w:val="22"/>
                <w:szCs w:val="22"/>
              </w:rPr>
              <w:t xml:space="preserve"> structurés sont rares ou inexistants. </w:t>
            </w:r>
          </w:p>
          <w:p w14:paraId="1612CC79" w14:textId="77777777" w:rsidR="00FF395B" w:rsidRDefault="00FF395B">
            <w:pPr>
              <w:pStyle w:val="Default"/>
              <w:jc w:val="both"/>
              <w:rPr>
                <w:rFonts w:asciiTheme="minorHAnsi" w:hAnsiTheme="minorHAnsi"/>
                <w:sz w:val="22"/>
                <w:szCs w:val="22"/>
              </w:rPr>
            </w:pPr>
          </w:p>
          <w:p w14:paraId="530240BA" w14:textId="03EE060D" w:rsidR="00F87148" w:rsidRDefault="59DD4FAB" w:rsidP="59DD4FAB">
            <w:pPr>
              <w:pStyle w:val="Default"/>
              <w:jc w:val="both"/>
              <w:rPr>
                <w:rFonts w:asciiTheme="minorHAnsi" w:hAnsiTheme="minorHAnsi"/>
                <w:sz w:val="22"/>
                <w:szCs w:val="22"/>
              </w:rPr>
            </w:pPr>
            <w:r w:rsidRPr="59DD4FAB">
              <w:rPr>
                <w:rFonts w:asciiTheme="minorHAnsi" w:hAnsiTheme="minorHAnsi"/>
                <w:sz w:val="22"/>
                <w:szCs w:val="22"/>
              </w:rPr>
              <w:t xml:space="preserve">Or, des résultats positifs ont déjà découlé de l’amélioration des relations entre apiculteurs / non-apiculteurs, et diverses actions permettent de mettre en place des aménagements favorables à la cohabitation des abeilles domestiques avec les pollinisateurs sauvages de manière générale et notamment dans les terres agricoles : c’est le cas </w:t>
            </w:r>
            <w:r w:rsidR="00DC6704">
              <w:rPr>
                <w:rFonts w:asciiTheme="minorHAnsi" w:hAnsiTheme="minorHAnsi"/>
                <w:sz w:val="22"/>
                <w:szCs w:val="22"/>
              </w:rPr>
              <w:t xml:space="preserve">par exemple </w:t>
            </w:r>
            <w:r w:rsidRPr="59DD4FAB">
              <w:rPr>
                <w:rFonts w:asciiTheme="minorHAnsi" w:hAnsiTheme="minorHAnsi"/>
                <w:sz w:val="22"/>
                <w:szCs w:val="22"/>
              </w:rPr>
              <w:t>d</w:t>
            </w:r>
            <w:r w:rsidR="00DC6704">
              <w:rPr>
                <w:rFonts w:asciiTheme="minorHAnsi" w:hAnsiTheme="minorHAnsi"/>
                <w:sz w:val="22"/>
                <w:szCs w:val="22"/>
              </w:rPr>
              <w:t>’</w:t>
            </w:r>
            <w:r w:rsidR="00DC6704" w:rsidRPr="00DC6704">
              <w:rPr>
                <w:rFonts w:asciiTheme="minorHAnsi" w:hAnsiTheme="minorHAnsi"/>
                <w:sz w:val="22"/>
                <w:szCs w:val="22"/>
              </w:rPr>
              <w:t xml:space="preserve">appels à projet trame verte et bleue avec implantation de couverts mellifères, </w:t>
            </w:r>
            <w:r w:rsidR="00DC6704">
              <w:rPr>
                <w:rFonts w:asciiTheme="minorHAnsi" w:hAnsiTheme="minorHAnsi"/>
                <w:sz w:val="22"/>
                <w:szCs w:val="22"/>
              </w:rPr>
              <w:t>d’A</w:t>
            </w:r>
            <w:r w:rsidR="00DC6704" w:rsidRPr="00DC6704">
              <w:rPr>
                <w:rFonts w:asciiTheme="minorHAnsi" w:hAnsiTheme="minorHAnsi"/>
                <w:sz w:val="22"/>
                <w:szCs w:val="22"/>
              </w:rPr>
              <w:t xml:space="preserve">grifaune avec la gestion différenciée des bords de champs </w:t>
            </w:r>
            <w:r w:rsidR="00DC6704">
              <w:rPr>
                <w:rFonts w:asciiTheme="minorHAnsi" w:hAnsiTheme="minorHAnsi"/>
                <w:sz w:val="22"/>
                <w:szCs w:val="22"/>
              </w:rPr>
              <w:t>et</w:t>
            </w:r>
            <w:r w:rsidR="00DC6704" w:rsidRPr="00DC6704">
              <w:rPr>
                <w:rFonts w:asciiTheme="minorHAnsi" w:hAnsiTheme="minorHAnsi"/>
                <w:sz w:val="22"/>
                <w:szCs w:val="22"/>
              </w:rPr>
              <w:t xml:space="preserve"> les fermes du réseau Life </w:t>
            </w:r>
            <w:proofErr w:type="spellStart"/>
            <w:r w:rsidR="00DC6704">
              <w:rPr>
                <w:rFonts w:asciiTheme="minorHAnsi" w:hAnsiTheme="minorHAnsi"/>
                <w:sz w:val="22"/>
                <w:szCs w:val="22"/>
              </w:rPr>
              <w:t>B</w:t>
            </w:r>
            <w:r w:rsidR="00DC6704" w:rsidRPr="00DC6704">
              <w:rPr>
                <w:rFonts w:asciiTheme="minorHAnsi" w:hAnsiTheme="minorHAnsi"/>
                <w:sz w:val="22"/>
                <w:szCs w:val="22"/>
              </w:rPr>
              <w:t>iodiv'</w:t>
            </w:r>
            <w:r w:rsidR="00DC6704">
              <w:rPr>
                <w:rFonts w:asciiTheme="minorHAnsi" w:hAnsiTheme="minorHAnsi"/>
                <w:sz w:val="22"/>
                <w:szCs w:val="22"/>
              </w:rPr>
              <w:t>E</w:t>
            </w:r>
            <w:r w:rsidR="00DC6704" w:rsidRPr="00DC6704">
              <w:rPr>
                <w:rFonts w:asciiTheme="minorHAnsi" w:hAnsiTheme="minorHAnsi"/>
                <w:sz w:val="22"/>
                <w:szCs w:val="22"/>
              </w:rPr>
              <w:t>st</w:t>
            </w:r>
            <w:proofErr w:type="spellEnd"/>
            <w:r w:rsidR="00DC6704" w:rsidRPr="00DC6704">
              <w:rPr>
                <w:rFonts w:asciiTheme="minorHAnsi" w:hAnsiTheme="minorHAnsi"/>
                <w:sz w:val="22"/>
                <w:szCs w:val="22"/>
              </w:rPr>
              <w:t xml:space="preserve">, </w:t>
            </w:r>
            <w:r w:rsidR="00DC6704">
              <w:rPr>
                <w:rFonts w:asciiTheme="minorHAnsi" w:hAnsiTheme="minorHAnsi"/>
                <w:sz w:val="22"/>
                <w:szCs w:val="22"/>
              </w:rPr>
              <w:t xml:space="preserve">des </w:t>
            </w:r>
            <w:r w:rsidR="00DC6704" w:rsidRPr="00DC6704">
              <w:rPr>
                <w:rFonts w:asciiTheme="minorHAnsi" w:hAnsiTheme="minorHAnsi"/>
                <w:sz w:val="22"/>
                <w:szCs w:val="22"/>
              </w:rPr>
              <w:t xml:space="preserve">opérations </w:t>
            </w:r>
            <w:proofErr w:type="spellStart"/>
            <w:r w:rsidR="00DC6704">
              <w:rPr>
                <w:rFonts w:asciiTheme="minorHAnsi" w:hAnsiTheme="minorHAnsi"/>
                <w:sz w:val="22"/>
                <w:szCs w:val="22"/>
              </w:rPr>
              <w:t>A</w:t>
            </w:r>
            <w:r w:rsidR="00DC6704" w:rsidRPr="00DC6704">
              <w:rPr>
                <w:rFonts w:asciiTheme="minorHAnsi" w:hAnsiTheme="minorHAnsi"/>
                <w:sz w:val="22"/>
                <w:szCs w:val="22"/>
              </w:rPr>
              <w:t>grimieux</w:t>
            </w:r>
            <w:proofErr w:type="spellEnd"/>
            <w:r w:rsidR="00DC6704" w:rsidRPr="00DC6704">
              <w:rPr>
                <w:rFonts w:asciiTheme="minorHAnsi" w:hAnsiTheme="minorHAnsi"/>
                <w:sz w:val="22"/>
                <w:szCs w:val="22"/>
              </w:rPr>
              <w:t xml:space="preserve"> </w:t>
            </w:r>
            <w:r w:rsidR="008C1569">
              <w:rPr>
                <w:rFonts w:asciiTheme="minorHAnsi" w:hAnsiTheme="minorHAnsi"/>
                <w:sz w:val="22"/>
                <w:szCs w:val="22"/>
              </w:rPr>
              <w:t>R</w:t>
            </w:r>
            <w:r w:rsidR="00DC6704" w:rsidRPr="00DC6704">
              <w:rPr>
                <w:rFonts w:asciiTheme="minorHAnsi" w:hAnsiTheme="minorHAnsi"/>
                <w:sz w:val="22"/>
                <w:szCs w:val="22"/>
              </w:rPr>
              <w:t xml:space="preserve">upt de </w:t>
            </w:r>
            <w:r w:rsidR="008C1569">
              <w:rPr>
                <w:rFonts w:asciiTheme="minorHAnsi" w:hAnsiTheme="minorHAnsi"/>
                <w:sz w:val="22"/>
                <w:szCs w:val="22"/>
              </w:rPr>
              <w:t>M</w:t>
            </w:r>
            <w:r w:rsidR="00DC6704" w:rsidRPr="00DC6704">
              <w:rPr>
                <w:rFonts w:asciiTheme="minorHAnsi" w:hAnsiTheme="minorHAnsi"/>
                <w:sz w:val="22"/>
                <w:szCs w:val="22"/>
              </w:rPr>
              <w:t>ad ou nord meusien avec  mise en relation d'agriculteurs et d'apiculteurs</w:t>
            </w:r>
            <w:r w:rsidR="008C1569">
              <w:rPr>
                <w:rFonts w:asciiTheme="minorHAnsi" w:hAnsiTheme="minorHAnsi"/>
                <w:sz w:val="22"/>
                <w:szCs w:val="22"/>
              </w:rPr>
              <w:t>…</w:t>
            </w:r>
          </w:p>
          <w:p w14:paraId="140AD3E9" w14:textId="77777777" w:rsidR="008C1569" w:rsidRDefault="008C1569" w:rsidP="59DD4FAB">
            <w:pPr>
              <w:pStyle w:val="Default"/>
              <w:jc w:val="both"/>
              <w:rPr>
                <w:rFonts w:asciiTheme="minorHAnsi" w:hAnsiTheme="minorHAnsi"/>
                <w:sz w:val="22"/>
                <w:szCs w:val="22"/>
              </w:rPr>
            </w:pPr>
          </w:p>
          <w:p w14:paraId="4983C0DC" w14:textId="608E2E48" w:rsidR="00F87148" w:rsidRDefault="00F87148">
            <w:pPr>
              <w:pStyle w:val="Default"/>
              <w:jc w:val="both"/>
              <w:rPr>
                <w:rFonts w:asciiTheme="minorHAnsi" w:hAnsiTheme="minorHAnsi"/>
                <w:sz w:val="22"/>
                <w:szCs w:val="22"/>
              </w:rPr>
            </w:pPr>
            <w:r>
              <w:rPr>
                <w:rFonts w:asciiTheme="minorHAnsi" w:hAnsiTheme="minorHAnsi"/>
                <w:sz w:val="22"/>
                <w:szCs w:val="22"/>
              </w:rPr>
              <w:t xml:space="preserve">Certains dispositifs existent mais ne sont pas connus </w:t>
            </w:r>
            <w:r w:rsidR="00290FF6">
              <w:rPr>
                <w:rFonts w:asciiTheme="minorHAnsi" w:hAnsiTheme="minorHAnsi"/>
                <w:sz w:val="22"/>
                <w:szCs w:val="22"/>
              </w:rPr>
              <w:t xml:space="preserve">par les acteurs de la filière intéressés, </w:t>
            </w:r>
            <w:r>
              <w:rPr>
                <w:rFonts w:asciiTheme="minorHAnsi" w:hAnsiTheme="minorHAnsi"/>
                <w:sz w:val="22"/>
                <w:szCs w:val="22"/>
              </w:rPr>
              <w:t>ni financés</w:t>
            </w:r>
            <w:r w:rsidR="00290FF6">
              <w:rPr>
                <w:rFonts w:asciiTheme="minorHAnsi" w:hAnsiTheme="minorHAnsi"/>
                <w:sz w:val="22"/>
                <w:szCs w:val="22"/>
              </w:rPr>
              <w:t>.</w:t>
            </w:r>
          </w:p>
          <w:p w14:paraId="4DDE832C" w14:textId="53D57480" w:rsidR="00507A29" w:rsidRDefault="59DD4FAB" w:rsidP="59DD4FAB">
            <w:pPr>
              <w:pStyle w:val="Default"/>
              <w:jc w:val="both"/>
              <w:rPr>
                <w:rFonts w:asciiTheme="minorHAnsi" w:hAnsiTheme="minorHAnsi"/>
                <w:sz w:val="22"/>
                <w:szCs w:val="22"/>
              </w:rPr>
            </w:pPr>
            <w:r w:rsidRPr="59DD4FAB">
              <w:rPr>
                <w:rFonts w:asciiTheme="minorHAnsi" w:hAnsiTheme="minorHAnsi"/>
                <w:sz w:val="22"/>
                <w:szCs w:val="22"/>
              </w:rPr>
              <w:t>Des actions locales menées par des acteurs agricoles dont le réseau des Chambres d’agriculture et d’autres acteurs associatifs plus spécialisés (RBA, Symbiose…</w:t>
            </w:r>
            <w:r w:rsidRPr="59DD4FAB">
              <w:rPr>
                <w:rFonts w:asciiTheme="minorHAnsi" w:hAnsiTheme="minorHAnsi"/>
                <w:sz w:val="22"/>
                <w:szCs w:val="22"/>
                <w:u w:val="single"/>
              </w:rPr>
              <w:t>)</w:t>
            </w:r>
            <w:r w:rsidRPr="59DD4FAB">
              <w:rPr>
                <w:rFonts w:asciiTheme="minorHAnsi" w:hAnsiTheme="minorHAnsi"/>
                <w:sz w:val="22"/>
                <w:szCs w:val="22"/>
              </w:rPr>
              <w:t xml:space="preserve"> ont été testées et mises en place localement mais semblent encore rares à l’échelle du Grand Est : c’est le cas de l’implantation de couverts spécifiques (</w:t>
            </w:r>
            <w:r w:rsidRPr="008C1569">
              <w:rPr>
                <w:rFonts w:asciiTheme="minorHAnsi" w:hAnsiTheme="minorHAnsi"/>
                <w:color w:val="auto"/>
                <w:sz w:val="22"/>
                <w:szCs w:val="22"/>
              </w:rPr>
              <w:t>via des MAEC</w:t>
            </w:r>
            <w:r w:rsidRPr="59DD4FAB">
              <w:rPr>
                <w:rFonts w:asciiTheme="minorHAnsi" w:hAnsiTheme="minorHAnsi"/>
                <w:sz w:val="22"/>
                <w:szCs w:val="22"/>
              </w:rPr>
              <w:t>), ou de l’adaptation de dates de récolte pour favoriser l’alimentation des pollinisateurs.</w:t>
            </w:r>
          </w:p>
          <w:p w14:paraId="092C5483" w14:textId="77777777" w:rsidR="00507A29" w:rsidRDefault="00507A29">
            <w:pPr>
              <w:pStyle w:val="Default"/>
              <w:jc w:val="both"/>
              <w:rPr>
                <w:rFonts w:asciiTheme="minorHAnsi" w:hAnsiTheme="minorHAnsi"/>
                <w:sz w:val="22"/>
                <w:szCs w:val="22"/>
              </w:rPr>
            </w:pPr>
          </w:p>
          <w:p w14:paraId="04B2DD44" w14:textId="07813036" w:rsidR="00507A29" w:rsidRDefault="59DD4FAB" w:rsidP="59DD4FAB">
            <w:pPr>
              <w:pStyle w:val="Default"/>
              <w:jc w:val="both"/>
              <w:rPr>
                <w:rFonts w:asciiTheme="minorHAnsi" w:hAnsiTheme="minorHAnsi"/>
                <w:sz w:val="22"/>
                <w:szCs w:val="22"/>
              </w:rPr>
            </w:pPr>
            <w:r w:rsidRPr="59DD4FAB">
              <w:rPr>
                <w:rFonts w:asciiTheme="minorHAnsi" w:hAnsiTheme="minorHAnsi"/>
                <w:sz w:val="22"/>
                <w:szCs w:val="22"/>
              </w:rPr>
              <w:t xml:space="preserve">Les conflits abeilles domestiques VS pollinisateurs sauvages sont croissants dans la presse et les réseaux sociaux, mais parfois non fondés (principe de précaution, risques sanitaires avérés ou non...). Les interactions entre les acteurs de l’apiculture et les naturalistes sont en phase d’émergence mais à l’heure de la construction du PNA Pollinisateurs Grand Est, le besoin d’échanges et de discussions entre ces deux acteurs est réel et mérite d’être développé et </w:t>
            </w:r>
            <w:r w:rsidRPr="008C1569">
              <w:rPr>
                <w:rFonts w:asciiTheme="minorHAnsi" w:hAnsiTheme="minorHAnsi"/>
                <w:color w:val="auto"/>
                <w:sz w:val="22"/>
                <w:szCs w:val="22"/>
              </w:rPr>
              <w:t>encadré/structuré</w:t>
            </w:r>
            <w:r w:rsidRPr="59DD4FAB">
              <w:rPr>
                <w:rFonts w:asciiTheme="minorHAnsi" w:hAnsiTheme="minorHAnsi"/>
                <w:color w:val="auto"/>
                <w:sz w:val="22"/>
                <w:szCs w:val="22"/>
              </w:rPr>
              <w:t>.</w:t>
            </w:r>
          </w:p>
          <w:p w14:paraId="7883BCCA" w14:textId="77777777" w:rsidR="00507A29" w:rsidRDefault="00507A29">
            <w:pPr>
              <w:pStyle w:val="Default"/>
              <w:jc w:val="both"/>
              <w:rPr>
                <w:rFonts w:asciiTheme="minorHAnsi" w:hAnsiTheme="minorHAnsi"/>
                <w:sz w:val="22"/>
                <w:szCs w:val="22"/>
              </w:rPr>
            </w:pPr>
          </w:p>
          <w:p w14:paraId="4B963AA9" w14:textId="1869AB62" w:rsidR="00897AEC" w:rsidRPr="002526B6" w:rsidRDefault="00507A29" w:rsidP="006D6284">
            <w:pPr>
              <w:pStyle w:val="Default"/>
              <w:jc w:val="both"/>
            </w:pPr>
            <w:r>
              <w:rPr>
                <w:rFonts w:asciiTheme="minorHAnsi" w:hAnsiTheme="minorHAnsi"/>
                <w:sz w:val="22"/>
                <w:szCs w:val="22"/>
              </w:rPr>
              <w:t>La notion de ressources alimentaires suffisantes pour abeilles domestiques et pollinisateurs sauvages est au centre des préoccupations.</w:t>
            </w:r>
            <w:r w:rsidR="00290FF6">
              <w:rPr>
                <w:rFonts w:asciiTheme="minorHAnsi" w:hAnsiTheme="minorHAnsi"/>
                <w:sz w:val="22"/>
                <w:szCs w:val="22"/>
              </w:rPr>
              <w:t xml:space="preserve"> À l’heure actuelle en Grand Est, les outils de calcul du potentiel alimentaire d’un territoire sont méconnus s’ils existent, et l’établissement d</w:t>
            </w:r>
            <w:r w:rsidR="00897AEC">
              <w:rPr>
                <w:rFonts w:asciiTheme="minorHAnsi" w:hAnsiTheme="minorHAnsi"/>
                <w:sz w:val="22"/>
                <w:szCs w:val="22"/>
              </w:rPr>
              <w:t xml:space="preserve">e règles </w:t>
            </w:r>
            <w:r w:rsidR="00290FF6">
              <w:rPr>
                <w:rFonts w:asciiTheme="minorHAnsi" w:hAnsiTheme="minorHAnsi"/>
                <w:sz w:val="22"/>
                <w:szCs w:val="22"/>
              </w:rPr>
              <w:t>sanitaire</w:t>
            </w:r>
            <w:r w:rsidR="00897AEC">
              <w:rPr>
                <w:rFonts w:asciiTheme="minorHAnsi" w:hAnsiTheme="minorHAnsi"/>
                <w:sz w:val="22"/>
                <w:szCs w:val="22"/>
              </w:rPr>
              <w:t>s</w:t>
            </w:r>
            <w:r w:rsidR="00290FF6">
              <w:rPr>
                <w:rFonts w:asciiTheme="minorHAnsi" w:hAnsiTheme="minorHAnsi"/>
                <w:sz w:val="22"/>
                <w:szCs w:val="22"/>
              </w:rPr>
              <w:t xml:space="preserve"> concernant les abeilles domestiques comme les pollinisateurs sauvages </w:t>
            </w:r>
            <w:r w:rsidR="00897AEC">
              <w:rPr>
                <w:rFonts w:asciiTheme="minorHAnsi" w:hAnsiTheme="minorHAnsi"/>
                <w:sz w:val="22"/>
                <w:szCs w:val="22"/>
              </w:rPr>
              <w:t>d’un même espace agricole est peut-être nécessaire. Des actions d’accompagnement des agriculteurs et des apiculteurs en milieu agricole pourraient être mises en place dans le cadre de ce PNA pour optimiser la cohabitation entre ces deux groupes de pollinisateurs.</w:t>
            </w:r>
          </w:p>
        </w:tc>
      </w:tr>
      <w:tr w:rsidR="006D6284" w14:paraId="5683D002" w14:textId="77777777" w:rsidTr="59DD4FAB">
        <w:tc>
          <w:tcPr>
            <w:tcW w:w="1560" w:type="dxa"/>
          </w:tcPr>
          <w:p w14:paraId="2CE8B5A1" w14:textId="3D4D4393" w:rsidR="006D6284" w:rsidRPr="009404C2" w:rsidRDefault="006D6284">
            <w:pPr>
              <w:jc w:val="center"/>
              <w:rPr>
                <w:b/>
                <w:bCs/>
              </w:rPr>
            </w:pPr>
            <w:r w:rsidRPr="009404C2">
              <w:rPr>
                <w:b/>
                <w:bCs/>
              </w:rPr>
              <w:lastRenderedPageBreak/>
              <w:t>Description</w:t>
            </w:r>
          </w:p>
        </w:tc>
        <w:tc>
          <w:tcPr>
            <w:tcW w:w="8505" w:type="dxa"/>
          </w:tcPr>
          <w:p w14:paraId="55C3465D" w14:textId="77777777" w:rsidR="0051797D" w:rsidRDefault="00190F5C" w:rsidP="0051797D">
            <w:pPr>
              <w:pStyle w:val="Paragraphedeliste"/>
              <w:numPr>
                <w:ilvl w:val="0"/>
                <w:numId w:val="6"/>
              </w:numPr>
              <w:jc w:val="both"/>
            </w:pPr>
            <w:r w:rsidRPr="0051797D">
              <w:rPr>
                <w:b/>
                <w:bCs/>
              </w:rPr>
              <w:t>M</w:t>
            </w:r>
            <w:r w:rsidR="004A138B" w:rsidRPr="0051797D">
              <w:rPr>
                <w:b/>
                <w:bCs/>
              </w:rPr>
              <w:t>ett</w:t>
            </w:r>
            <w:r w:rsidRPr="0051797D">
              <w:rPr>
                <w:b/>
                <w:bCs/>
              </w:rPr>
              <w:t>r</w:t>
            </w:r>
            <w:r w:rsidR="004A138B" w:rsidRPr="0051797D">
              <w:rPr>
                <w:b/>
                <w:bCs/>
              </w:rPr>
              <w:t>e en relation</w:t>
            </w:r>
            <w:r w:rsidR="004A138B">
              <w:t xml:space="preserve"> les ac</w:t>
            </w:r>
            <w:r>
              <w:t>teurs transverses entre le monde agricole et les pollinisateurs</w:t>
            </w:r>
            <w:r w:rsidR="004A138B">
              <w:t xml:space="preserve"> (agri</w:t>
            </w:r>
            <w:r w:rsidR="008B54B6">
              <w:t>culteur</w:t>
            </w:r>
            <w:r w:rsidR="004A138B">
              <w:t>s, api</w:t>
            </w:r>
            <w:r w:rsidR="008B54B6">
              <w:t>culteur</w:t>
            </w:r>
            <w:r w:rsidR="004A138B">
              <w:t xml:space="preserve">s et naturalistes), </w:t>
            </w:r>
            <w:r w:rsidR="008B54B6">
              <w:t>par le biais</w:t>
            </w:r>
            <w:r>
              <w:t> </w:t>
            </w:r>
            <w:r w:rsidR="0051797D">
              <w:t xml:space="preserve">de </w:t>
            </w:r>
            <w:r>
              <w:t>:</w:t>
            </w:r>
          </w:p>
          <w:p w14:paraId="3F7334AC" w14:textId="3ADFF14D" w:rsidR="0051797D" w:rsidRDefault="008B5000" w:rsidP="0051797D">
            <w:pPr>
              <w:pStyle w:val="Paragraphedeliste"/>
              <w:numPr>
                <w:ilvl w:val="1"/>
                <w:numId w:val="6"/>
              </w:numPr>
              <w:jc w:val="both"/>
            </w:pPr>
            <w:r>
              <w:t>La</w:t>
            </w:r>
            <w:r w:rsidR="008B54B6">
              <w:t xml:space="preserve"> mise à disposition de </w:t>
            </w:r>
            <w:r w:rsidR="004A138B">
              <w:t>lieux d’</w:t>
            </w:r>
            <w:r w:rsidR="00293BBF">
              <w:t>échanges</w:t>
            </w:r>
            <w:r w:rsidR="0051797D">
              <w:t> ;</w:t>
            </w:r>
            <w:r w:rsidR="00F04EB7">
              <w:t xml:space="preserve"> </w:t>
            </w:r>
          </w:p>
          <w:p w14:paraId="22C23E84" w14:textId="5A0165D4" w:rsidR="0051797D" w:rsidRDefault="008B5000" w:rsidP="0051797D">
            <w:pPr>
              <w:pStyle w:val="Paragraphedeliste"/>
              <w:numPr>
                <w:ilvl w:val="1"/>
                <w:numId w:val="6"/>
              </w:numPr>
              <w:jc w:val="both"/>
            </w:pPr>
            <w:r>
              <w:t>L</w:t>
            </w:r>
            <w:r w:rsidR="008B54B6">
              <w:t xml:space="preserve">’organisation </w:t>
            </w:r>
            <w:r w:rsidR="00F04EB7">
              <w:t>de journées de terrain</w:t>
            </w:r>
            <w:r w:rsidR="0051797D">
              <w:t> ;</w:t>
            </w:r>
          </w:p>
          <w:p w14:paraId="35886F0D" w14:textId="5202A31F" w:rsidR="0051797D" w:rsidRDefault="008B5000" w:rsidP="0051797D">
            <w:pPr>
              <w:pStyle w:val="Paragraphedeliste"/>
              <w:numPr>
                <w:ilvl w:val="1"/>
                <w:numId w:val="6"/>
              </w:numPr>
              <w:jc w:val="both"/>
            </w:pPr>
            <w:r>
              <w:t>L</w:t>
            </w:r>
            <w:r w:rsidR="00190F5C">
              <w:t>e</w:t>
            </w:r>
            <w:r w:rsidR="008B54B6">
              <w:t xml:space="preserve"> développement d’o</w:t>
            </w:r>
            <w:r w:rsidR="004A138B">
              <w:t xml:space="preserve">utils de mesure </w:t>
            </w:r>
            <w:r w:rsidR="008B54B6">
              <w:t>permettant d’</w:t>
            </w:r>
            <w:r w:rsidR="004A138B">
              <w:t>objectiver les données</w:t>
            </w:r>
            <w:r w:rsidR="0051797D">
              <w:t> ;</w:t>
            </w:r>
          </w:p>
          <w:p w14:paraId="1AC77D73" w14:textId="72C5BEFD" w:rsidR="0051797D" w:rsidRDefault="59DD4FAB" w:rsidP="0051797D">
            <w:pPr>
              <w:pStyle w:val="Paragraphedeliste"/>
              <w:numPr>
                <w:ilvl w:val="1"/>
                <w:numId w:val="6"/>
              </w:numPr>
              <w:jc w:val="both"/>
            </w:pPr>
            <w:r>
              <w:t xml:space="preserve">L’application d’actions pratiques adaptées au territoire agricole pour la protection des pollinisateurs (mise en relation entre agriculteurs et apiculteurs géographiquement proches, implantation de cultures dédiées et aménagements favorables aux pollinisateurs sauvages, installation de ruches chez des agriculteurs non-apiculteurs…). </w:t>
            </w:r>
          </w:p>
          <w:p w14:paraId="6EEC150E" w14:textId="39DD0E9E" w:rsidR="00CC32EF" w:rsidRDefault="59DD4FAB" w:rsidP="0051797D">
            <w:pPr>
              <w:pStyle w:val="Paragraphedeliste"/>
              <w:numPr>
                <w:ilvl w:val="0"/>
                <w:numId w:val="6"/>
              </w:numPr>
              <w:jc w:val="both"/>
            </w:pPr>
            <w:r>
              <w:t xml:space="preserve">À l’échelle des territoires, </w:t>
            </w:r>
            <w:r w:rsidRPr="59DD4FAB">
              <w:rPr>
                <w:b/>
                <w:bCs/>
              </w:rPr>
              <w:t>réunir et mettre en place des discussions</w:t>
            </w:r>
            <w:r>
              <w:t xml:space="preserve"> entre agriculteurs, apiculteurs et naturalistes dans le but d’objectiver les débats en présence de tiers neutres (qui structurent la discussion).</w:t>
            </w:r>
          </w:p>
          <w:p w14:paraId="71F0AC93" w14:textId="3683A248" w:rsidR="00CC32EF" w:rsidRDefault="59DD4FAB" w:rsidP="0051797D">
            <w:pPr>
              <w:pStyle w:val="Paragraphedeliste"/>
              <w:numPr>
                <w:ilvl w:val="0"/>
                <w:numId w:val="6"/>
              </w:numPr>
              <w:jc w:val="both"/>
            </w:pPr>
            <w:r>
              <w:t>Proposer localement des mises en relation entre apiculteurs et agriculteurs avec d’éventuelles contractualisations, entre autres, pour mettre en place des ruches permettant de favoriser la pollinisation de certaines cultures (exemples : tournesol, colza...).</w:t>
            </w:r>
          </w:p>
          <w:p w14:paraId="39197239" w14:textId="1554CFD3" w:rsidR="00CC32EF" w:rsidRDefault="59DD4FAB" w:rsidP="0051797D">
            <w:pPr>
              <w:pStyle w:val="Paragraphedeliste"/>
              <w:numPr>
                <w:ilvl w:val="0"/>
                <w:numId w:val="6"/>
              </w:numPr>
              <w:jc w:val="both"/>
            </w:pPr>
            <w:r>
              <w:t xml:space="preserve">Rappeler à tous les réglementations applicables aux agriculteurs en matière de traitements phytosanitaires et les pratiques favorables aux pollinisateurs (en les intégrant aux formations auprès des agriculteurs ou au « </w:t>
            </w:r>
            <w:proofErr w:type="spellStart"/>
            <w:r>
              <w:t>Certiphyto</w:t>
            </w:r>
            <w:proofErr w:type="spellEnd"/>
            <w:r>
              <w:t xml:space="preserve"> »).</w:t>
            </w:r>
          </w:p>
          <w:p w14:paraId="203FC110" w14:textId="1E4FB616" w:rsidR="00CC32EF" w:rsidRDefault="59DD4FAB" w:rsidP="00130675">
            <w:pPr>
              <w:pStyle w:val="Paragraphedeliste"/>
              <w:numPr>
                <w:ilvl w:val="0"/>
                <w:numId w:val="6"/>
              </w:numPr>
              <w:jc w:val="both"/>
            </w:pPr>
            <w:r>
              <w:t>Proposer la mise en place de cultures et d’aménagements favorables aux abeilles domestiques sur les exploitations agricoles proches des ruchers (financer de l’animation, les aménagements, d’autres choses ?).</w:t>
            </w:r>
          </w:p>
          <w:p w14:paraId="48DE39CF" w14:textId="4854E0F1" w:rsidR="00CC32EF" w:rsidRDefault="59DD4FAB" w:rsidP="00130675">
            <w:pPr>
              <w:pStyle w:val="Paragraphedeliste"/>
              <w:numPr>
                <w:ilvl w:val="0"/>
                <w:numId w:val="6"/>
              </w:numPr>
              <w:jc w:val="both"/>
            </w:pPr>
            <w:r>
              <w:t>Sensibiliser les agriculteurs au rôle des pollinisateurs, et en particulier des abeilles ainsi qu’aux pratiques qui leur sont favorables (journées techniques et mini-formations).</w:t>
            </w:r>
          </w:p>
          <w:p w14:paraId="105CA07B" w14:textId="5F88A48C" w:rsidR="00CC32EF" w:rsidRDefault="00CC32EF" w:rsidP="00130675">
            <w:pPr>
              <w:pStyle w:val="Paragraphedeliste"/>
              <w:numPr>
                <w:ilvl w:val="0"/>
                <w:numId w:val="6"/>
              </w:numPr>
              <w:jc w:val="both"/>
            </w:pPr>
            <w:r>
              <w:t>Sensibiliser les apiculteurs aux contraintes réglementaires et économiques de l’agriculture et aux intérêts de travailler ensemble.</w:t>
            </w:r>
          </w:p>
          <w:p w14:paraId="559F2CBA" w14:textId="76FF4656" w:rsidR="00CC32EF" w:rsidRPr="008A6952" w:rsidRDefault="59DD4FAB" w:rsidP="00130675">
            <w:pPr>
              <w:pStyle w:val="Paragraphedeliste"/>
              <w:numPr>
                <w:ilvl w:val="0"/>
                <w:numId w:val="6"/>
              </w:numPr>
              <w:jc w:val="both"/>
            </w:pPr>
            <w:r>
              <w:t>Proposer des aménagements favorables aux pollinisateurs sauvages à tous les agriculteurs.</w:t>
            </w:r>
          </w:p>
        </w:tc>
      </w:tr>
      <w:tr w:rsidR="006D6284" w14:paraId="70D806A1" w14:textId="77777777" w:rsidTr="59DD4FAB">
        <w:tc>
          <w:tcPr>
            <w:tcW w:w="1560" w:type="dxa"/>
          </w:tcPr>
          <w:p w14:paraId="19CFC0E9" w14:textId="77777777" w:rsidR="006D6284" w:rsidRPr="009404C2" w:rsidRDefault="006D6284">
            <w:pPr>
              <w:jc w:val="center"/>
              <w:rPr>
                <w:b/>
                <w:bCs/>
              </w:rPr>
            </w:pPr>
            <w:r w:rsidRPr="009404C2">
              <w:rPr>
                <w:b/>
                <w:bCs/>
              </w:rPr>
              <w:t>Action(s) associée(s)</w:t>
            </w:r>
          </w:p>
        </w:tc>
        <w:tc>
          <w:tcPr>
            <w:tcW w:w="8505" w:type="dxa"/>
          </w:tcPr>
          <w:p w14:paraId="199E77AB" w14:textId="32F1A22D" w:rsidR="00A47A4C" w:rsidRDefault="00CC32EF" w:rsidP="00CC32EF">
            <w:r>
              <w:t>Axe 3 – actions 1.</w:t>
            </w:r>
            <w:r w:rsidR="005A7561">
              <w:t>b et 2</w:t>
            </w:r>
          </w:p>
          <w:p w14:paraId="52285880" w14:textId="311588F1" w:rsidR="005A7561" w:rsidRPr="00BC2B7D" w:rsidRDefault="00786036" w:rsidP="00CC32EF">
            <w:r>
              <w:t xml:space="preserve">Axe 4 </w:t>
            </w:r>
            <w:r w:rsidR="00323BB7">
              <w:t>–</w:t>
            </w:r>
            <w:r>
              <w:t xml:space="preserve"> </w:t>
            </w:r>
            <w:r w:rsidR="00323BB7">
              <w:t>action 5</w:t>
            </w:r>
          </w:p>
        </w:tc>
      </w:tr>
      <w:tr w:rsidR="006D6284" w14:paraId="3B6E4613" w14:textId="77777777" w:rsidTr="59DD4FAB">
        <w:tc>
          <w:tcPr>
            <w:tcW w:w="1560" w:type="dxa"/>
          </w:tcPr>
          <w:p w14:paraId="2A83506A" w14:textId="0DBED5B1" w:rsidR="006D6284" w:rsidRPr="009404C2" w:rsidRDefault="006D6284">
            <w:pPr>
              <w:jc w:val="center"/>
              <w:rPr>
                <w:b/>
                <w:bCs/>
              </w:rPr>
            </w:pPr>
            <w:r w:rsidRPr="009404C2">
              <w:rPr>
                <w:b/>
                <w:bCs/>
              </w:rPr>
              <w:t>Indicateurs de résultats</w:t>
            </w:r>
          </w:p>
        </w:tc>
        <w:tc>
          <w:tcPr>
            <w:tcW w:w="8505" w:type="dxa"/>
          </w:tcPr>
          <w:p w14:paraId="2401DC98" w14:textId="77777777" w:rsidR="008B5000" w:rsidRDefault="006C01D9" w:rsidP="008B5000">
            <w:pPr>
              <w:pStyle w:val="Paragraphedeliste"/>
              <w:numPr>
                <w:ilvl w:val="0"/>
                <w:numId w:val="5"/>
              </w:numPr>
            </w:pPr>
            <w:r>
              <w:t>Nombre de « partenariats » créés entre agriculteurs et apiculteurs</w:t>
            </w:r>
          </w:p>
          <w:p w14:paraId="7982919C" w14:textId="27CE3DC1" w:rsidR="006C01D9" w:rsidRDefault="006C01D9" w:rsidP="008B5000">
            <w:pPr>
              <w:pStyle w:val="Paragraphedeliste"/>
              <w:numPr>
                <w:ilvl w:val="0"/>
                <w:numId w:val="5"/>
              </w:numPr>
            </w:pPr>
            <w:r>
              <w:t>Nombre de mesures engagées par des agriculteurs pour la conservation de l’environnement (type MAEC)</w:t>
            </w:r>
          </w:p>
          <w:p w14:paraId="3DA11C9A" w14:textId="77777777" w:rsidR="008B5000" w:rsidRDefault="006C01D9" w:rsidP="008B5000">
            <w:pPr>
              <w:pStyle w:val="Paragraphedeliste"/>
              <w:numPr>
                <w:ilvl w:val="0"/>
                <w:numId w:val="5"/>
              </w:numPr>
            </w:pPr>
            <w:r>
              <w:t>Évolution des surfaces d’habitats semi-naturels (type haies, arbres isolés, jachères de tout type)</w:t>
            </w:r>
          </w:p>
          <w:p w14:paraId="0AB0CB27" w14:textId="2D861A29" w:rsidR="006C01D9" w:rsidRDefault="59DD4FAB" w:rsidP="008B5000">
            <w:pPr>
              <w:pStyle w:val="Paragraphedeliste"/>
              <w:numPr>
                <w:ilvl w:val="0"/>
                <w:numId w:val="5"/>
              </w:numPr>
            </w:pPr>
            <w:r>
              <w:t>Évolution des pratiques agricoles (augmentation des gestions extensives des prairies, baisse d’IFT…)</w:t>
            </w:r>
          </w:p>
        </w:tc>
      </w:tr>
      <w:tr w:rsidR="006D6284" w14:paraId="22757C75" w14:textId="77777777" w:rsidTr="59DD4FAB">
        <w:tc>
          <w:tcPr>
            <w:tcW w:w="1560" w:type="dxa"/>
          </w:tcPr>
          <w:p w14:paraId="10831581" w14:textId="56E80DBD" w:rsidR="006D6284" w:rsidRPr="009404C2" w:rsidRDefault="006D6284">
            <w:pPr>
              <w:jc w:val="center"/>
              <w:rPr>
                <w:b/>
                <w:bCs/>
              </w:rPr>
            </w:pPr>
            <w:r w:rsidRPr="009404C2">
              <w:rPr>
                <w:b/>
                <w:bCs/>
              </w:rPr>
              <w:t>Echelle(s) de travail</w:t>
            </w:r>
          </w:p>
        </w:tc>
        <w:tc>
          <w:tcPr>
            <w:tcW w:w="8505" w:type="dxa"/>
          </w:tcPr>
          <w:p w14:paraId="0CF00212" w14:textId="77777777" w:rsidR="006D6284" w:rsidRDefault="006C01D9">
            <w:r>
              <w:t>Échelle du département ?</w:t>
            </w:r>
          </w:p>
          <w:p w14:paraId="0FDCBE19" w14:textId="384D8360" w:rsidR="006C01D9" w:rsidRDefault="006C01D9">
            <w:r>
              <w:t>Échelle du territoire (« terroir ») ?</w:t>
            </w:r>
          </w:p>
        </w:tc>
      </w:tr>
      <w:tr w:rsidR="006D6284" w14:paraId="1FC903A2" w14:textId="77777777" w:rsidTr="59DD4FAB">
        <w:tc>
          <w:tcPr>
            <w:tcW w:w="1560" w:type="dxa"/>
          </w:tcPr>
          <w:p w14:paraId="103450E6" w14:textId="77777777" w:rsidR="006D6284" w:rsidRPr="009404C2" w:rsidRDefault="006D6284">
            <w:pPr>
              <w:jc w:val="center"/>
              <w:rPr>
                <w:b/>
                <w:bCs/>
              </w:rPr>
            </w:pPr>
            <w:r w:rsidRPr="009404C2">
              <w:rPr>
                <w:b/>
                <w:bCs/>
              </w:rPr>
              <w:t>Evaluation financière</w:t>
            </w:r>
          </w:p>
        </w:tc>
        <w:tc>
          <w:tcPr>
            <w:tcW w:w="8505" w:type="dxa"/>
          </w:tcPr>
          <w:p w14:paraId="060598F1" w14:textId="2D2C54A3" w:rsidR="006D6284" w:rsidRDefault="00AB17C5" w:rsidP="008B5000">
            <w:r w:rsidRPr="00AB17C5">
              <w:t>27 000€ et 37 000€ par an pour un 0.5 ETP</w:t>
            </w:r>
          </w:p>
        </w:tc>
      </w:tr>
      <w:tr w:rsidR="006D6284" w14:paraId="653CCBB7" w14:textId="77777777" w:rsidTr="59DD4FAB">
        <w:tc>
          <w:tcPr>
            <w:tcW w:w="1560" w:type="dxa"/>
          </w:tcPr>
          <w:p w14:paraId="7D9D2C86" w14:textId="77777777" w:rsidR="006D6284" w:rsidRPr="009404C2" w:rsidRDefault="006D6284">
            <w:pPr>
              <w:jc w:val="center"/>
              <w:rPr>
                <w:b/>
                <w:bCs/>
              </w:rPr>
            </w:pPr>
            <w:r w:rsidRPr="009404C2">
              <w:rPr>
                <w:b/>
                <w:bCs/>
              </w:rPr>
              <w:t>Pilote(s) de l’action</w:t>
            </w:r>
          </w:p>
        </w:tc>
        <w:tc>
          <w:tcPr>
            <w:tcW w:w="8505" w:type="dxa"/>
          </w:tcPr>
          <w:p w14:paraId="11C2063F" w14:textId="1AF00973" w:rsidR="006D6284" w:rsidRDefault="00596F97">
            <w:r>
              <w:t>Réseau des C</w:t>
            </w:r>
            <w:r w:rsidR="59DD4FAB">
              <w:t>hambres d’</w:t>
            </w:r>
            <w:r>
              <w:t>A</w:t>
            </w:r>
            <w:r w:rsidR="59DD4FAB">
              <w:t>griculture Grand Est</w:t>
            </w:r>
          </w:p>
          <w:p w14:paraId="5B765236" w14:textId="77777777" w:rsidR="006D6284" w:rsidRDefault="006D6284"/>
        </w:tc>
      </w:tr>
      <w:tr w:rsidR="006D6284" w14:paraId="0BEF48E4" w14:textId="77777777" w:rsidTr="59DD4FAB">
        <w:tc>
          <w:tcPr>
            <w:tcW w:w="1560" w:type="dxa"/>
          </w:tcPr>
          <w:p w14:paraId="68600D1C" w14:textId="77777777" w:rsidR="006D6284" w:rsidRPr="009404C2" w:rsidRDefault="006D6284">
            <w:pPr>
              <w:jc w:val="center"/>
              <w:rPr>
                <w:b/>
                <w:bCs/>
              </w:rPr>
            </w:pPr>
            <w:r w:rsidRPr="009404C2">
              <w:rPr>
                <w:b/>
                <w:bCs/>
              </w:rPr>
              <w:t>Partenaires potentiels</w:t>
            </w:r>
          </w:p>
        </w:tc>
        <w:tc>
          <w:tcPr>
            <w:tcW w:w="8505" w:type="dxa"/>
          </w:tcPr>
          <w:p w14:paraId="47E3DF03" w14:textId="238E6374" w:rsidR="006D6284" w:rsidRDefault="00F350E7">
            <w:r>
              <w:t>FRSEA,</w:t>
            </w:r>
            <w:r w:rsidR="00C3446E">
              <w:t xml:space="preserve"> ADAGE,</w:t>
            </w:r>
            <w:r>
              <w:t xml:space="preserve"> </w:t>
            </w:r>
            <w:proofErr w:type="spellStart"/>
            <w:r w:rsidR="006C01D9">
              <w:t>CEN</w:t>
            </w:r>
            <w:r w:rsidR="008B5000">
              <w:t>s</w:t>
            </w:r>
            <w:proofErr w:type="spellEnd"/>
            <w:r w:rsidR="000A3927">
              <w:t xml:space="preserve">, </w:t>
            </w:r>
            <w:r w:rsidR="00717BAC">
              <w:t xml:space="preserve">SLE, </w:t>
            </w:r>
            <w:r w:rsidR="005E5F2A">
              <w:t xml:space="preserve">RBA, </w:t>
            </w:r>
            <w:r w:rsidR="006C01D9">
              <w:t>Conseil</w:t>
            </w:r>
            <w:r w:rsidR="008B5000">
              <w:t>s</w:t>
            </w:r>
            <w:r w:rsidR="006C01D9">
              <w:t xml:space="preserve"> départementa</w:t>
            </w:r>
            <w:r w:rsidR="008B5000">
              <w:t>ux</w:t>
            </w:r>
            <w:r w:rsidR="006C01D9">
              <w:t>, Région G</w:t>
            </w:r>
            <w:r w:rsidR="000A3927">
              <w:t xml:space="preserve">rand </w:t>
            </w:r>
            <w:r w:rsidR="006C01D9">
              <w:t>E</w:t>
            </w:r>
            <w:r w:rsidR="000A3927">
              <w:t>st</w:t>
            </w:r>
            <w:r w:rsidR="008B5000">
              <w:t>, DRAAF,</w:t>
            </w:r>
            <w:r w:rsidR="006C01D9">
              <w:t xml:space="preserve"> DREAL</w:t>
            </w:r>
          </w:p>
        </w:tc>
      </w:tr>
    </w:tbl>
    <w:p w14:paraId="75CBFB49" w14:textId="77777777" w:rsidR="006D6284" w:rsidRDefault="006D6284" w:rsidP="006D6284"/>
    <w:p w14:paraId="4FF9625D" w14:textId="77777777" w:rsidR="006D6284" w:rsidRDefault="006D6284" w:rsidP="00BC2B7D"/>
    <w:sectPr w:rsidR="006D628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B55BA" w14:textId="77777777" w:rsidR="00345521" w:rsidRDefault="00345521" w:rsidP="002C29A2">
      <w:pPr>
        <w:spacing w:after="0" w:line="240" w:lineRule="auto"/>
      </w:pPr>
      <w:r>
        <w:separator/>
      </w:r>
    </w:p>
  </w:endnote>
  <w:endnote w:type="continuationSeparator" w:id="0">
    <w:p w14:paraId="7FFF068A" w14:textId="77777777" w:rsidR="00345521" w:rsidRDefault="00345521" w:rsidP="002C29A2">
      <w:pPr>
        <w:spacing w:after="0" w:line="240" w:lineRule="auto"/>
      </w:pPr>
      <w:r>
        <w:continuationSeparator/>
      </w:r>
    </w:p>
  </w:endnote>
  <w:endnote w:type="continuationNotice" w:id="1">
    <w:p w14:paraId="3460FD2F" w14:textId="77777777" w:rsidR="00345521" w:rsidRDefault="003455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E2476" w14:textId="77777777" w:rsidR="002C29A2" w:rsidRDefault="002C29A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DD356" w14:textId="77777777" w:rsidR="002C29A2" w:rsidRDefault="002C29A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EA10A" w14:textId="77777777" w:rsidR="002C29A2" w:rsidRDefault="002C29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2CCFA" w14:textId="77777777" w:rsidR="00345521" w:rsidRDefault="00345521" w:rsidP="002C29A2">
      <w:pPr>
        <w:spacing w:after="0" w:line="240" w:lineRule="auto"/>
      </w:pPr>
      <w:r>
        <w:separator/>
      </w:r>
    </w:p>
  </w:footnote>
  <w:footnote w:type="continuationSeparator" w:id="0">
    <w:p w14:paraId="4729EBEE" w14:textId="77777777" w:rsidR="00345521" w:rsidRDefault="00345521" w:rsidP="002C29A2">
      <w:pPr>
        <w:spacing w:after="0" w:line="240" w:lineRule="auto"/>
      </w:pPr>
      <w:r>
        <w:continuationSeparator/>
      </w:r>
    </w:p>
  </w:footnote>
  <w:footnote w:type="continuationNotice" w:id="1">
    <w:p w14:paraId="56CFD19C" w14:textId="77777777" w:rsidR="00345521" w:rsidRDefault="003455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2D188" w14:textId="77777777" w:rsidR="002C29A2" w:rsidRDefault="002C29A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EAE83" w14:textId="77777777" w:rsidR="002C29A2" w:rsidRDefault="002C29A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A2307" w14:textId="77777777" w:rsidR="002C29A2" w:rsidRDefault="002C29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B6E98"/>
    <w:multiLevelType w:val="hybridMultilevel"/>
    <w:tmpl w:val="31EA4D5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258430A"/>
    <w:multiLevelType w:val="hybridMultilevel"/>
    <w:tmpl w:val="A86A90FE"/>
    <w:lvl w:ilvl="0" w:tplc="DDF0CE6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886962"/>
    <w:multiLevelType w:val="hybridMultilevel"/>
    <w:tmpl w:val="F800A2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CFA2F6A"/>
    <w:multiLevelType w:val="hybridMultilevel"/>
    <w:tmpl w:val="0BAC08F4"/>
    <w:lvl w:ilvl="0" w:tplc="2138BDF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5409CA"/>
    <w:multiLevelType w:val="hybridMultilevel"/>
    <w:tmpl w:val="CBE8069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6603531B"/>
    <w:multiLevelType w:val="hybridMultilevel"/>
    <w:tmpl w:val="7340EC84"/>
    <w:lvl w:ilvl="0" w:tplc="8886DBB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221485">
    <w:abstractNumId w:val="2"/>
  </w:num>
  <w:num w:numId="2" w16cid:durableId="942149239">
    <w:abstractNumId w:val="1"/>
  </w:num>
  <w:num w:numId="3" w16cid:durableId="346174025">
    <w:abstractNumId w:val="3"/>
  </w:num>
  <w:num w:numId="4" w16cid:durableId="610168933">
    <w:abstractNumId w:val="5"/>
  </w:num>
  <w:num w:numId="5" w16cid:durableId="391200082">
    <w:abstractNumId w:val="0"/>
  </w:num>
  <w:num w:numId="6" w16cid:durableId="14412176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979"/>
    <w:rsid w:val="00001C73"/>
    <w:rsid w:val="0000438A"/>
    <w:rsid w:val="000179A7"/>
    <w:rsid w:val="00053261"/>
    <w:rsid w:val="000A3927"/>
    <w:rsid w:val="000B5D52"/>
    <w:rsid w:val="000F6B48"/>
    <w:rsid w:val="00130675"/>
    <w:rsid w:val="00190F5C"/>
    <w:rsid w:val="001A0EE6"/>
    <w:rsid w:val="001A3575"/>
    <w:rsid w:val="001B782E"/>
    <w:rsid w:val="001C2A8C"/>
    <w:rsid w:val="001D4C0B"/>
    <w:rsid w:val="001E383E"/>
    <w:rsid w:val="001F6C0A"/>
    <w:rsid w:val="002526B6"/>
    <w:rsid w:val="002675E4"/>
    <w:rsid w:val="00290FF6"/>
    <w:rsid w:val="00293BBF"/>
    <w:rsid w:val="002A1124"/>
    <w:rsid w:val="002C1988"/>
    <w:rsid w:val="002C29A2"/>
    <w:rsid w:val="002E0BA5"/>
    <w:rsid w:val="002F5526"/>
    <w:rsid w:val="002F5714"/>
    <w:rsid w:val="002F5B9B"/>
    <w:rsid w:val="002F72CA"/>
    <w:rsid w:val="00310AA7"/>
    <w:rsid w:val="0031757A"/>
    <w:rsid w:val="00323BB7"/>
    <w:rsid w:val="003439CD"/>
    <w:rsid w:val="00345521"/>
    <w:rsid w:val="0034706A"/>
    <w:rsid w:val="003D45A4"/>
    <w:rsid w:val="00436FF5"/>
    <w:rsid w:val="0045790F"/>
    <w:rsid w:val="0046607B"/>
    <w:rsid w:val="00492E45"/>
    <w:rsid w:val="004A138B"/>
    <w:rsid w:val="004B46D3"/>
    <w:rsid w:val="00507A29"/>
    <w:rsid w:val="0051797D"/>
    <w:rsid w:val="005736A8"/>
    <w:rsid w:val="005866DA"/>
    <w:rsid w:val="00596F97"/>
    <w:rsid w:val="005A7561"/>
    <w:rsid w:val="005B0A91"/>
    <w:rsid w:val="005E5F2A"/>
    <w:rsid w:val="00611CA4"/>
    <w:rsid w:val="00621C6D"/>
    <w:rsid w:val="00627DBB"/>
    <w:rsid w:val="006460ED"/>
    <w:rsid w:val="006A0E86"/>
    <w:rsid w:val="006C01D9"/>
    <w:rsid w:val="006D6284"/>
    <w:rsid w:val="00717BAC"/>
    <w:rsid w:val="00744029"/>
    <w:rsid w:val="007661A8"/>
    <w:rsid w:val="00786036"/>
    <w:rsid w:val="00787A21"/>
    <w:rsid w:val="00787A69"/>
    <w:rsid w:val="00792054"/>
    <w:rsid w:val="007B280C"/>
    <w:rsid w:val="008060D2"/>
    <w:rsid w:val="00850E8D"/>
    <w:rsid w:val="00865D31"/>
    <w:rsid w:val="00893955"/>
    <w:rsid w:val="00897AEC"/>
    <w:rsid w:val="008A2587"/>
    <w:rsid w:val="008A6952"/>
    <w:rsid w:val="008B2757"/>
    <w:rsid w:val="008B5000"/>
    <w:rsid w:val="008B54B6"/>
    <w:rsid w:val="008C1569"/>
    <w:rsid w:val="0090680A"/>
    <w:rsid w:val="00924518"/>
    <w:rsid w:val="009404C2"/>
    <w:rsid w:val="009443D7"/>
    <w:rsid w:val="009614BA"/>
    <w:rsid w:val="00996DB9"/>
    <w:rsid w:val="009A7530"/>
    <w:rsid w:val="009C60AC"/>
    <w:rsid w:val="009E73EB"/>
    <w:rsid w:val="009F0979"/>
    <w:rsid w:val="009F1511"/>
    <w:rsid w:val="009F2258"/>
    <w:rsid w:val="00A47A4C"/>
    <w:rsid w:val="00A518FC"/>
    <w:rsid w:val="00A73AFC"/>
    <w:rsid w:val="00AB17C5"/>
    <w:rsid w:val="00AB5616"/>
    <w:rsid w:val="00B3571E"/>
    <w:rsid w:val="00B81222"/>
    <w:rsid w:val="00BC2B7D"/>
    <w:rsid w:val="00C3446E"/>
    <w:rsid w:val="00C354FB"/>
    <w:rsid w:val="00C476B1"/>
    <w:rsid w:val="00C93E5E"/>
    <w:rsid w:val="00CC32EF"/>
    <w:rsid w:val="00CE2926"/>
    <w:rsid w:val="00CE3D2A"/>
    <w:rsid w:val="00D177E4"/>
    <w:rsid w:val="00D57E93"/>
    <w:rsid w:val="00D62C3C"/>
    <w:rsid w:val="00DB6F91"/>
    <w:rsid w:val="00DC6704"/>
    <w:rsid w:val="00DD7E9C"/>
    <w:rsid w:val="00DF53F2"/>
    <w:rsid w:val="00E3424C"/>
    <w:rsid w:val="00E737DB"/>
    <w:rsid w:val="00E84223"/>
    <w:rsid w:val="00E92514"/>
    <w:rsid w:val="00EB311C"/>
    <w:rsid w:val="00ED0BBD"/>
    <w:rsid w:val="00ED740D"/>
    <w:rsid w:val="00F04EB7"/>
    <w:rsid w:val="00F14010"/>
    <w:rsid w:val="00F350E7"/>
    <w:rsid w:val="00F6163C"/>
    <w:rsid w:val="00F66D63"/>
    <w:rsid w:val="00F805B9"/>
    <w:rsid w:val="00F83A96"/>
    <w:rsid w:val="00F87148"/>
    <w:rsid w:val="00FA5E51"/>
    <w:rsid w:val="00FC20C9"/>
    <w:rsid w:val="00FD7505"/>
    <w:rsid w:val="00FF395B"/>
    <w:rsid w:val="59DD4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C6DC5"/>
  <w15:chartTrackingRefBased/>
  <w15:docId w15:val="{3360A63C-E16E-4849-B324-3151000D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07B"/>
  </w:style>
  <w:style w:type="paragraph" w:styleId="Titre1">
    <w:name w:val="heading 1"/>
    <w:basedOn w:val="Normal"/>
    <w:next w:val="Normal"/>
    <w:link w:val="Titre1Car"/>
    <w:uiPriority w:val="9"/>
    <w:qFormat/>
    <w:rsid w:val="009F0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F0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F097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F097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F097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F097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F097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F097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F097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097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F097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F097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F097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F097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F097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F097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F097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F0979"/>
    <w:rPr>
      <w:rFonts w:eastAsiaTheme="majorEastAsia" w:cstheme="majorBidi"/>
      <w:color w:val="272727" w:themeColor="text1" w:themeTint="D8"/>
    </w:rPr>
  </w:style>
  <w:style w:type="paragraph" w:styleId="Titre">
    <w:name w:val="Title"/>
    <w:basedOn w:val="Normal"/>
    <w:next w:val="Normal"/>
    <w:link w:val="TitreCar"/>
    <w:uiPriority w:val="10"/>
    <w:qFormat/>
    <w:rsid w:val="009F0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097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097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F097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F0979"/>
    <w:pPr>
      <w:spacing w:before="160"/>
      <w:jc w:val="center"/>
    </w:pPr>
    <w:rPr>
      <w:i/>
      <w:iCs/>
      <w:color w:val="404040" w:themeColor="text1" w:themeTint="BF"/>
    </w:rPr>
  </w:style>
  <w:style w:type="character" w:customStyle="1" w:styleId="CitationCar">
    <w:name w:val="Citation Car"/>
    <w:basedOn w:val="Policepardfaut"/>
    <w:link w:val="Citation"/>
    <w:uiPriority w:val="29"/>
    <w:rsid w:val="009F0979"/>
    <w:rPr>
      <w:i/>
      <w:iCs/>
      <w:color w:val="404040" w:themeColor="text1" w:themeTint="BF"/>
    </w:rPr>
  </w:style>
  <w:style w:type="paragraph" w:styleId="Paragraphedeliste">
    <w:name w:val="List Paragraph"/>
    <w:basedOn w:val="Normal"/>
    <w:uiPriority w:val="34"/>
    <w:qFormat/>
    <w:rsid w:val="009F0979"/>
    <w:pPr>
      <w:ind w:left="720"/>
      <w:contextualSpacing/>
    </w:pPr>
  </w:style>
  <w:style w:type="character" w:styleId="Accentuationintense">
    <w:name w:val="Intense Emphasis"/>
    <w:basedOn w:val="Policepardfaut"/>
    <w:uiPriority w:val="21"/>
    <w:qFormat/>
    <w:rsid w:val="009F0979"/>
    <w:rPr>
      <w:i/>
      <w:iCs/>
      <w:color w:val="0F4761" w:themeColor="accent1" w:themeShade="BF"/>
    </w:rPr>
  </w:style>
  <w:style w:type="paragraph" w:styleId="Citationintense">
    <w:name w:val="Intense Quote"/>
    <w:basedOn w:val="Normal"/>
    <w:next w:val="Normal"/>
    <w:link w:val="CitationintenseCar"/>
    <w:uiPriority w:val="30"/>
    <w:qFormat/>
    <w:rsid w:val="009F0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F0979"/>
    <w:rPr>
      <w:i/>
      <w:iCs/>
      <w:color w:val="0F4761" w:themeColor="accent1" w:themeShade="BF"/>
    </w:rPr>
  </w:style>
  <w:style w:type="character" w:styleId="Rfrenceintense">
    <w:name w:val="Intense Reference"/>
    <w:basedOn w:val="Policepardfaut"/>
    <w:uiPriority w:val="32"/>
    <w:qFormat/>
    <w:rsid w:val="009F0979"/>
    <w:rPr>
      <w:b/>
      <w:bCs/>
      <w:smallCaps/>
      <w:color w:val="0F4761" w:themeColor="accent1" w:themeShade="BF"/>
      <w:spacing w:val="5"/>
    </w:rPr>
  </w:style>
  <w:style w:type="table" w:styleId="Grilledutableau">
    <w:name w:val="Table Grid"/>
    <w:basedOn w:val="TableauNormal"/>
    <w:uiPriority w:val="39"/>
    <w:rsid w:val="00466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1C73"/>
    <w:pPr>
      <w:autoSpaceDE w:val="0"/>
      <w:autoSpaceDN w:val="0"/>
      <w:adjustRightInd w:val="0"/>
      <w:spacing w:after="0" w:line="240" w:lineRule="auto"/>
    </w:pPr>
    <w:rPr>
      <w:rFonts w:ascii="Arial" w:hAnsi="Arial" w:cs="Arial"/>
      <w:color w:val="000000"/>
      <w:kern w:val="0"/>
      <w:sz w:val="24"/>
      <w:szCs w:val="24"/>
    </w:rPr>
  </w:style>
  <w:style w:type="character" w:customStyle="1" w:styleId="hgkelc">
    <w:name w:val="hgkelc"/>
    <w:basedOn w:val="Policepardfaut"/>
    <w:rsid w:val="002526B6"/>
  </w:style>
  <w:style w:type="paragraph" w:styleId="En-tte">
    <w:name w:val="header"/>
    <w:basedOn w:val="Normal"/>
    <w:link w:val="En-tteCar"/>
    <w:uiPriority w:val="99"/>
    <w:unhideWhenUsed/>
    <w:rsid w:val="002C29A2"/>
    <w:pPr>
      <w:tabs>
        <w:tab w:val="center" w:pos="4536"/>
        <w:tab w:val="right" w:pos="9072"/>
      </w:tabs>
      <w:spacing w:after="0" w:line="240" w:lineRule="auto"/>
    </w:pPr>
  </w:style>
  <w:style w:type="character" w:customStyle="1" w:styleId="En-tteCar">
    <w:name w:val="En-tête Car"/>
    <w:basedOn w:val="Policepardfaut"/>
    <w:link w:val="En-tte"/>
    <w:uiPriority w:val="99"/>
    <w:rsid w:val="002C29A2"/>
  </w:style>
  <w:style w:type="paragraph" w:styleId="Pieddepage">
    <w:name w:val="footer"/>
    <w:basedOn w:val="Normal"/>
    <w:link w:val="PieddepageCar"/>
    <w:uiPriority w:val="99"/>
    <w:unhideWhenUsed/>
    <w:rsid w:val="002C29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29A2"/>
  </w:style>
  <w:style w:type="paragraph" w:styleId="Rvision">
    <w:name w:val="Revision"/>
    <w:hidden/>
    <w:uiPriority w:val="99"/>
    <w:semiHidden/>
    <w:rsid w:val="00C354FB"/>
    <w:pPr>
      <w:spacing w:after="0" w:line="240" w:lineRule="auto"/>
    </w:pPr>
  </w:style>
  <w:style w:type="character" w:styleId="Marquedecommentaire">
    <w:name w:val="annotation reference"/>
    <w:basedOn w:val="Policepardfaut"/>
    <w:uiPriority w:val="99"/>
    <w:semiHidden/>
    <w:unhideWhenUsed/>
    <w:rsid w:val="00744029"/>
    <w:rPr>
      <w:sz w:val="16"/>
      <w:szCs w:val="16"/>
    </w:rPr>
  </w:style>
  <w:style w:type="paragraph" w:styleId="Commentaire">
    <w:name w:val="annotation text"/>
    <w:basedOn w:val="Normal"/>
    <w:link w:val="CommentaireCar"/>
    <w:uiPriority w:val="99"/>
    <w:unhideWhenUsed/>
    <w:rsid w:val="00744029"/>
    <w:pPr>
      <w:spacing w:line="240" w:lineRule="auto"/>
    </w:pPr>
    <w:rPr>
      <w:sz w:val="20"/>
      <w:szCs w:val="20"/>
    </w:rPr>
  </w:style>
  <w:style w:type="character" w:customStyle="1" w:styleId="CommentaireCar">
    <w:name w:val="Commentaire Car"/>
    <w:basedOn w:val="Policepardfaut"/>
    <w:link w:val="Commentaire"/>
    <w:uiPriority w:val="99"/>
    <w:rsid w:val="00744029"/>
    <w:rPr>
      <w:sz w:val="20"/>
      <w:szCs w:val="20"/>
    </w:rPr>
  </w:style>
  <w:style w:type="paragraph" w:styleId="Objetducommentaire">
    <w:name w:val="annotation subject"/>
    <w:basedOn w:val="Commentaire"/>
    <w:next w:val="Commentaire"/>
    <w:link w:val="ObjetducommentaireCar"/>
    <w:uiPriority w:val="99"/>
    <w:semiHidden/>
    <w:unhideWhenUsed/>
    <w:rsid w:val="00744029"/>
    <w:rPr>
      <w:b/>
      <w:bCs/>
    </w:rPr>
  </w:style>
  <w:style w:type="character" w:customStyle="1" w:styleId="ObjetducommentaireCar">
    <w:name w:val="Objet du commentaire Car"/>
    <w:basedOn w:val="CommentaireCar"/>
    <w:link w:val="Objetducommentaire"/>
    <w:uiPriority w:val="99"/>
    <w:semiHidden/>
    <w:rsid w:val="00744029"/>
    <w:rPr>
      <w:b/>
      <w:bCs/>
      <w:sz w:val="20"/>
      <w:szCs w:val="20"/>
    </w:rPr>
  </w:style>
  <w:style w:type="paragraph" w:styleId="Textedebulles">
    <w:name w:val="Balloon Text"/>
    <w:basedOn w:val="Normal"/>
    <w:link w:val="TextedebullesCar"/>
    <w:uiPriority w:val="99"/>
    <w:semiHidden/>
    <w:unhideWhenUsed/>
    <w:rsid w:val="00A518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18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Pages>
  <Words>923</Words>
  <Characters>5078</Characters>
  <Application>Microsoft Office Word</Application>
  <DocSecurity>0</DocSecurity>
  <Lines>42</Lines>
  <Paragraphs>11</Paragraphs>
  <ScaleCrop>false</ScaleCrop>
  <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CROMBECQUE</dc:creator>
  <cp:keywords/>
  <dc:description/>
  <cp:lastModifiedBy>Mélanie CROMBECQUE</cp:lastModifiedBy>
  <cp:revision>72</cp:revision>
  <dcterms:created xsi:type="dcterms:W3CDTF">2024-07-29T20:53:00Z</dcterms:created>
  <dcterms:modified xsi:type="dcterms:W3CDTF">2024-09-23T12:15:00Z</dcterms:modified>
</cp:coreProperties>
</file>